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3190"/>
        <w:gridCol w:w="4998"/>
        <w:gridCol w:w="1383"/>
      </w:tblGrid>
      <w:tr w:rsidR="00B623A5" w:rsidTr="002C0C0E">
        <w:tc>
          <w:tcPr>
            <w:tcW w:w="3190" w:type="dxa"/>
          </w:tcPr>
          <w:p w:rsidR="00B623A5" w:rsidRPr="00766C0A" w:rsidRDefault="00B623A5" w:rsidP="002C0C0E">
            <w:pPr>
              <w:rPr>
                <w:b/>
              </w:rPr>
            </w:pPr>
            <w:r w:rsidRPr="00766C0A">
              <w:rPr>
                <w:b/>
              </w:rPr>
              <w:t>Название группы</w:t>
            </w:r>
          </w:p>
          <w:p w:rsidR="00B623A5" w:rsidRDefault="00B623A5" w:rsidP="002C0C0E">
            <w:pPr>
              <w:rPr>
                <w:b/>
              </w:rPr>
            </w:pPr>
            <w:r w:rsidRPr="00766C0A">
              <w:rPr>
                <w:b/>
              </w:rPr>
              <w:t>критериев</w:t>
            </w: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 w:rsidRPr="00766C0A">
              <w:rPr>
                <w:b/>
              </w:rPr>
              <w:t>Название критерия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  <w:r w:rsidRPr="00766C0A">
              <w:rPr>
                <w:b/>
              </w:rPr>
              <w:t>Оценка</w:t>
            </w:r>
          </w:p>
          <w:p w:rsidR="00B623A5" w:rsidRDefault="00B623A5" w:rsidP="002C0C0E">
            <w:pPr>
              <w:rPr>
                <w:b/>
              </w:rPr>
            </w:pPr>
            <w:r w:rsidRPr="00766C0A">
              <w:rPr>
                <w:b/>
              </w:rPr>
              <w:t>(да – 1, нет – 0)</w:t>
            </w:r>
          </w:p>
        </w:tc>
      </w:tr>
      <w:tr w:rsidR="00B623A5" w:rsidTr="002C0C0E">
        <w:tc>
          <w:tcPr>
            <w:tcW w:w="3190" w:type="dxa"/>
            <w:vMerge w:val="restart"/>
          </w:tcPr>
          <w:p w:rsidR="00B623A5" w:rsidRPr="004A7D7A" w:rsidRDefault="00B623A5" w:rsidP="002C0C0E">
            <w:pPr>
              <w:rPr>
                <w:b/>
              </w:rPr>
            </w:pPr>
            <w:r w:rsidRPr="004A7D7A">
              <w:rPr>
                <w:b/>
              </w:rPr>
              <w:t>1. Достаточная сложность задания</w:t>
            </w:r>
          </w:p>
          <w:p w:rsidR="00B623A5" w:rsidRPr="00766C0A" w:rsidRDefault="00B623A5" w:rsidP="002C0C0E">
            <w:pPr>
              <w:rPr>
                <w:b/>
              </w:rPr>
            </w:pPr>
            <w:r>
              <w:t xml:space="preserve"> (Критерии целевые и прогнозные, измеряются после пилотного тестирования на двух </w:t>
            </w:r>
            <w:proofErr w:type="gramStart"/>
            <w:r>
              <w:t>фокус-группах</w:t>
            </w:r>
            <w:proofErr w:type="gramEnd"/>
            <w:r>
              <w:t>)</w:t>
            </w: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>
              <w:t>1.1. Неспециали</w:t>
            </w:r>
            <w:proofErr w:type="gramStart"/>
            <w:r>
              <w:t>ст в пр</w:t>
            </w:r>
            <w:proofErr w:type="gramEnd"/>
            <w:r>
              <w:t>едметной области не знает правильный ответ и выбирает правильный и неправильный ответ с равной вероятностью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>
              <w:t>1.2. 70-80% специалистов в предметной области отвечают правильно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 w:val="restart"/>
          </w:tcPr>
          <w:p w:rsidR="00B623A5" w:rsidRPr="00D05513" w:rsidRDefault="00B623A5" w:rsidP="002C0C0E">
            <w:pPr>
              <w:rPr>
                <w:b/>
              </w:rPr>
            </w:pPr>
            <w:r w:rsidRPr="00D05513">
              <w:rPr>
                <w:b/>
              </w:rPr>
              <w:t>2. Качество</w:t>
            </w:r>
          </w:p>
          <w:p w:rsidR="00B623A5" w:rsidRPr="00766C0A" w:rsidRDefault="00B623A5" w:rsidP="002C0C0E">
            <w:pPr>
              <w:rPr>
                <w:b/>
              </w:rPr>
            </w:pPr>
            <w:r w:rsidRPr="00D05513">
              <w:rPr>
                <w:b/>
              </w:rPr>
              <w:t>формулировки задания</w:t>
            </w: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>
              <w:t xml:space="preserve">2.1. Отсутствие грамматических ошибок 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>
              <w:t>2.2. Отсутствие лишних слов (исключение которых не изменяет смысл задания)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Pr="00766C0A" w:rsidRDefault="00B623A5" w:rsidP="002C0C0E">
            <w:pPr>
              <w:rPr>
                <w:b/>
              </w:rPr>
            </w:pPr>
            <w:r>
              <w:t>2.3. Отсутствие повторяющихся слов в ответах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r w:rsidRPr="00C90010">
              <w:t>2.4. Утвердительная форма формулировки задания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r w:rsidRPr="00002976">
              <w:t>2.5. Отсутствие двойного отрицания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Pr="00002976" w:rsidRDefault="00B623A5" w:rsidP="002C0C0E">
            <w:r w:rsidRPr="00002976">
              <w:t>2.6. Выделение отрицания заглавными буквами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Pr="00766C0A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Pr="00002976" w:rsidRDefault="00B623A5" w:rsidP="002C0C0E">
            <w:r w:rsidRPr="00002976">
              <w:t>2.7. Отсутствие аббревиатуры без расшифровки</w:t>
            </w:r>
          </w:p>
        </w:tc>
        <w:tc>
          <w:tcPr>
            <w:tcW w:w="1383" w:type="dxa"/>
          </w:tcPr>
          <w:p w:rsidR="00B623A5" w:rsidRPr="00766C0A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 w:val="restart"/>
          </w:tcPr>
          <w:p w:rsidR="00B623A5" w:rsidRPr="002C65D1" w:rsidRDefault="00B623A5" w:rsidP="002C0C0E">
            <w:pPr>
              <w:rPr>
                <w:b/>
              </w:rPr>
            </w:pPr>
            <w:r w:rsidRPr="002C65D1">
              <w:rPr>
                <w:b/>
              </w:rPr>
              <w:t>3. Качество и</w:t>
            </w:r>
          </w:p>
          <w:p w:rsidR="00B623A5" w:rsidRDefault="00B623A5" w:rsidP="002C0C0E">
            <w:pPr>
              <w:rPr>
                <w:b/>
              </w:rPr>
            </w:pPr>
            <w:r w:rsidRPr="002C65D1">
              <w:rPr>
                <w:b/>
              </w:rPr>
              <w:t>количество ответов</w:t>
            </w: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 xml:space="preserve">3.1. Невозможность отличить правильный ответ от </w:t>
            </w:r>
            <w:proofErr w:type="spellStart"/>
            <w:r>
              <w:t>дистракторов</w:t>
            </w:r>
            <w:proofErr w:type="spellEnd"/>
            <w:r>
              <w:t xml:space="preserve"> по формальным признакам (количество слов, полнота ответа, наличие пояснений) и с помощью методов формальной логики (очевидно неправильный ответ, частично правильный ответ, в ответе есть косвенные ссылки на текст вопроса и т.д.)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>3.2. Логическая и грамматическая согласованность с формулировкой основной части задания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>3.3. Отсутствие формулировки ответов вида «все перечисленные ответы», «все ответы неправильные», «да», «нет»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 w:val="restart"/>
          </w:tcPr>
          <w:p w:rsidR="00B623A5" w:rsidRPr="00D16D9B" w:rsidRDefault="00B623A5" w:rsidP="002C0C0E">
            <w:pPr>
              <w:rPr>
                <w:b/>
              </w:rPr>
            </w:pPr>
            <w:r w:rsidRPr="00D16D9B">
              <w:rPr>
                <w:b/>
              </w:rPr>
              <w:t>4. Качество</w:t>
            </w:r>
          </w:p>
          <w:p w:rsidR="00B623A5" w:rsidRPr="00D16D9B" w:rsidRDefault="00B623A5" w:rsidP="002C0C0E">
            <w:pPr>
              <w:rPr>
                <w:b/>
              </w:rPr>
            </w:pPr>
            <w:r w:rsidRPr="00D16D9B">
              <w:rPr>
                <w:b/>
              </w:rPr>
              <w:t>оформления</w:t>
            </w:r>
          </w:p>
          <w:p w:rsidR="00B623A5" w:rsidRDefault="00B623A5" w:rsidP="002C0C0E">
            <w:pPr>
              <w:rPr>
                <w:b/>
              </w:rPr>
            </w:pPr>
            <w:r w:rsidRPr="00D16D9B">
              <w:rPr>
                <w:b/>
              </w:rPr>
              <w:t>тестового задания</w:t>
            </w: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>4.1. Формулировка задания утвердительной формы завершается двоеточием, ответы к заданию начинаются со строчной (маленькой) буквы (за исключением имен собственных). Если в качестве задания используется вопрос, ответы начинаются с прописной (большой) буквы. В конце ответов не ставится никаких знаков препинания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>4.2. Правильные ответы приводятся в начале списка ответов, выделяются полужирным шрифтом, напротив ставится метка правильного ответа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3190" w:type="dxa"/>
            <w:vMerge/>
          </w:tcPr>
          <w:p w:rsidR="00B623A5" w:rsidRDefault="00B623A5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B623A5" w:rsidRDefault="00B623A5" w:rsidP="002C0C0E">
            <w:pPr>
              <w:rPr>
                <w:b/>
              </w:rPr>
            </w:pPr>
            <w:r>
              <w:t>4.3. Тестовые задания обязательно нумеруются по маске «</w:t>
            </w:r>
            <w:proofErr w:type="gramStart"/>
            <w:r>
              <w:t>номер-</w:t>
            </w:r>
            <w:proofErr w:type="spellStart"/>
            <w:r>
              <w:t>темы</w:t>
            </w:r>
            <w:proofErr w:type="gramEnd"/>
            <w:r>
              <w:t>_номер</w:t>
            </w:r>
            <w:proofErr w:type="spellEnd"/>
            <w:r>
              <w:t>-задания»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  <w:tr w:rsidR="00B623A5" w:rsidTr="002C0C0E">
        <w:tc>
          <w:tcPr>
            <w:tcW w:w="8188" w:type="dxa"/>
            <w:gridSpan w:val="2"/>
          </w:tcPr>
          <w:p w:rsidR="00B623A5" w:rsidRPr="004A7D7A" w:rsidRDefault="00B623A5" w:rsidP="002C0C0E">
            <w:pPr>
              <w:rPr>
                <w:b/>
              </w:rPr>
            </w:pPr>
            <w:r w:rsidRPr="004A7D7A">
              <w:rPr>
                <w:b/>
              </w:rPr>
              <w:t>Интегральный показатель качества тестового задания</w:t>
            </w:r>
          </w:p>
          <w:p w:rsidR="00B623A5" w:rsidRDefault="00B623A5" w:rsidP="002C0C0E">
            <w:pPr>
              <w:rPr>
                <w:b/>
              </w:rPr>
            </w:pPr>
            <w:r w:rsidRPr="004A7D7A">
              <w:rPr>
                <w:b/>
              </w:rPr>
              <w:t>(среднее арифметическое показателей)</w:t>
            </w:r>
          </w:p>
        </w:tc>
        <w:tc>
          <w:tcPr>
            <w:tcW w:w="1383" w:type="dxa"/>
          </w:tcPr>
          <w:p w:rsidR="00B623A5" w:rsidRDefault="00B623A5" w:rsidP="002C0C0E">
            <w:pPr>
              <w:rPr>
                <w:b/>
              </w:rPr>
            </w:pPr>
          </w:p>
        </w:tc>
      </w:tr>
    </w:tbl>
    <w:p w:rsidR="00B623A5" w:rsidRDefault="00B623A5" w:rsidP="00B623A5">
      <w:pPr>
        <w:rPr>
          <w:b/>
        </w:rPr>
      </w:pPr>
      <w:r>
        <w:t xml:space="preserve"> Авторская система оценки качества тестов Г. Троян. </w:t>
      </w:r>
      <w:r w:rsidRPr="00766C0A">
        <w:rPr>
          <w:b/>
        </w:rPr>
        <w:t>Оценка заданий</w:t>
      </w:r>
      <w:r>
        <w:t xml:space="preserve"> закрытой формы</w:t>
      </w:r>
      <w:r>
        <w:rPr>
          <w:b/>
        </w:rPr>
        <w:br w:type="page"/>
      </w:r>
    </w:p>
    <w:p w:rsidR="00EA7FDC" w:rsidRDefault="00E87D5A">
      <w:r w:rsidRPr="00E87D5A">
        <w:lastRenderedPageBreak/>
        <w:t>Авторская система оценки качества тестов. Оценка теста (4)</w:t>
      </w:r>
    </w:p>
    <w:tbl>
      <w:tblPr>
        <w:tblStyle w:val="a3"/>
        <w:tblpPr w:leftFromText="180" w:rightFromText="180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3190"/>
        <w:gridCol w:w="4998"/>
        <w:gridCol w:w="1383"/>
      </w:tblGrid>
      <w:tr w:rsidR="00267137" w:rsidTr="002C0C0E">
        <w:tc>
          <w:tcPr>
            <w:tcW w:w="3190" w:type="dxa"/>
          </w:tcPr>
          <w:p w:rsidR="00267137" w:rsidRPr="00766C0A" w:rsidRDefault="00267137" w:rsidP="002C0C0E">
            <w:pPr>
              <w:rPr>
                <w:b/>
              </w:rPr>
            </w:pPr>
            <w:r w:rsidRPr="00766C0A">
              <w:rPr>
                <w:b/>
              </w:rPr>
              <w:t>Название группы</w:t>
            </w:r>
          </w:p>
          <w:p w:rsidR="00267137" w:rsidRDefault="00267137" w:rsidP="002C0C0E">
            <w:pPr>
              <w:rPr>
                <w:b/>
              </w:rPr>
            </w:pPr>
            <w:r w:rsidRPr="00766C0A">
              <w:rPr>
                <w:b/>
              </w:rPr>
              <w:t>критериев</w:t>
            </w:r>
          </w:p>
        </w:tc>
        <w:tc>
          <w:tcPr>
            <w:tcW w:w="4998" w:type="dxa"/>
          </w:tcPr>
          <w:p w:rsidR="00267137" w:rsidRPr="00766C0A" w:rsidRDefault="00267137" w:rsidP="002C0C0E">
            <w:pPr>
              <w:rPr>
                <w:b/>
              </w:rPr>
            </w:pPr>
            <w:r w:rsidRPr="00766C0A">
              <w:rPr>
                <w:b/>
              </w:rPr>
              <w:t>Название критерия</w:t>
            </w:r>
          </w:p>
        </w:tc>
        <w:tc>
          <w:tcPr>
            <w:tcW w:w="1383" w:type="dxa"/>
          </w:tcPr>
          <w:p w:rsidR="00267137" w:rsidRPr="00766C0A" w:rsidRDefault="00267137" w:rsidP="002C0C0E">
            <w:pPr>
              <w:rPr>
                <w:b/>
              </w:rPr>
            </w:pPr>
            <w:r w:rsidRPr="00766C0A">
              <w:rPr>
                <w:b/>
              </w:rPr>
              <w:t>Оценка</w:t>
            </w:r>
          </w:p>
          <w:p w:rsidR="00267137" w:rsidRDefault="00267137" w:rsidP="002C0C0E">
            <w:pPr>
              <w:rPr>
                <w:b/>
              </w:rPr>
            </w:pPr>
            <w:r w:rsidRPr="00766C0A">
              <w:rPr>
                <w:b/>
              </w:rPr>
              <w:t>(да – 1, нет – 0)</w:t>
            </w:r>
          </w:p>
        </w:tc>
      </w:tr>
      <w:tr w:rsidR="00267137" w:rsidRPr="00766C0A" w:rsidTr="002C0C0E">
        <w:tc>
          <w:tcPr>
            <w:tcW w:w="3190" w:type="dxa"/>
            <w:vMerge w:val="restart"/>
          </w:tcPr>
          <w:p w:rsidR="00E63851" w:rsidRPr="00E63851" w:rsidRDefault="00E63851" w:rsidP="00E63851">
            <w:pPr>
              <w:rPr>
                <w:b/>
              </w:rPr>
            </w:pPr>
            <w:r w:rsidRPr="00E63851">
              <w:rPr>
                <w:b/>
              </w:rPr>
              <w:t>1. Содержательная</w:t>
            </w:r>
          </w:p>
          <w:p w:rsidR="00267137" w:rsidRPr="00766C0A" w:rsidRDefault="00E63851" w:rsidP="00E63851">
            <w:pPr>
              <w:rPr>
                <w:b/>
              </w:rPr>
            </w:pPr>
            <w:proofErr w:type="spellStart"/>
            <w:r w:rsidRPr="00E63851">
              <w:rPr>
                <w:b/>
              </w:rPr>
              <w:t>валидность</w:t>
            </w:r>
            <w:proofErr w:type="spellEnd"/>
            <w:r w:rsidRPr="00E63851">
              <w:rPr>
                <w:b/>
              </w:rPr>
              <w:t xml:space="preserve"> (полнота)</w:t>
            </w:r>
          </w:p>
        </w:tc>
        <w:tc>
          <w:tcPr>
            <w:tcW w:w="4998" w:type="dxa"/>
          </w:tcPr>
          <w:p w:rsidR="00267137" w:rsidRPr="00766C0A" w:rsidRDefault="00646C07" w:rsidP="002C0C0E">
            <w:pPr>
              <w:rPr>
                <w:b/>
              </w:rPr>
            </w:pPr>
            <w:r w:rsidRPr="00646C07">
              <w:rPr>
                <w:b/>
              </w:rPr>
              <w:t>1.1. Тестовые задания разработаны по всем темам курса</w:t>
            </w:r>
          </w:p>
        </w:tc>
        <w:tc>
          <w:tcPr>
            <w:tcW w:w="1383" w:type="dxa"/>
          </w:tcPr>
          <w:p w:rsidR="00267137" w:rsidRPr="00766C0A" w:rsidRDefault="00267137" w:rsidP="002C0C0E">
            <w:pPr>
              <w:rPr>
                <w:b/>
              </w:rPr>
            </w:pPr>
          </w:p>
        </w:tc>
      </w:tr>
      <w:tr w:rsidR="00267137" w:rsidRPr="00766C0A" w:rsidTr="002C0C0E">
        <w:tc>
          <w:tcPr>
            <w:tcW w:w="3190" w:type="dxa"/>
            <w:vMerge/>
          </w:tcPr>
          <w:p w:rsidR="00267137" w:rsidRPr="00766C0A" w:rsidRDefault="00267137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267137" w:rsidRPr="00766C0A" w:rsidRDefault="00646C07" w:rsidP="002C0C0E">
            <w:pPr>
              <w:rPr>
                <w:b/>
              </w:rPr>
            </w:pPr>
            <w:r w:rsidRPr="00646C07">
              <w:rPr>
                <w:b/>
              </w:rPr>
              <w:t>1.2. По каждой теме разработано не менее 2-х задани</w:t>
            </w:r>
            <w:r>
              <w:rPr>
                <w:b/>
              </w:rPr>
              <w:t>й</w:t>
            </w:r>
          </w:p>
        </w:tc>
        <w:tc>
          <w:tcPr>
            <w:tcW w:w="1383" w:type="dxa"/>
          </w:tcPr>
          <w:p w:rsidR="00267137" w:rsidRPr="00766C0A" w:rsidRDefault="00267137" w:rsidP="002C0C0E">
            <w:pPr>
              <w:rPr>
                <w:b/>
              </w:rPr>
            </w:pPr>
          </w:p>
        </w:tc>
      </w:tr>
      <w:tr w:rsidR="00267137" w:rsidRPr="00766C0A" w:rsidTr="002C0C0E">
        <w:tc>
          <w:tcPr>
            <w:tcW w:w="3190" w:type="dxa"/>
            <w:vMerge w:val="restart"/>
          </w:tcPr>
          <w:p w:rsidR="00267137" w:rsidRPr="00766C0A" w:rsidRDefault="00FD2689" w:rsidP="002C0C0E">
            <w:pPr>
              <w:rPr>
                <w:b/>
              </w:rPr>
            </w:pPr>
            <w:r w:rsidRPr="00FD2689">
              <w:rPr>
                <w:b/>
              </w:rPr>
              <w:t>2. Вариативность</w:t>
            </w:r>
          </w:p>
        </w:tc>
        <w:tc>
          <w:tcPr>
            <w:tcW w:w="4998" w:type="dxa"/>
          </w:tcPr>
          <w:p w:rsidR="00267137" w:rsidRPr="00766C0A" w:rsidRDefault="00FD2689" w:rsidP="00EE4EC0">
            <w:pPr>
              <w:rPr>
                <w:b/>
              </w:rPr>
            </w:pPr>
            <w:r w:rsidRPr="00FD2689">
              <w:rPr>
                <w:b/>
              </w:rPr>
              <w:t>2.1. Количество заданий в тесте не менее</w:t>
            </w:r>
            <w:r w:rsidR="00EE4EC0">
              <w:rPr>
                <w:b/>
              </w:rPr>
              <w:t xml:space="preserve"> 15</w:t>
            </w:r>
          </w:p>
        </w:tc>
        <w:tc>
          <w:tcPr>
            <w:tcW w:w="1383" w:type="dxa"/>
          </w:tcPr>
          <w:p w:rsidR="00267137" w:rsidRPr="00766C0A" w:rsidRDefault="00267137" w:rsidP="002C0C0E">
            <w:pPr>
              <w:rPr>
                <w:b/>
              </w:rPr>
            </w:pPr>
          </w:p>
        </w:tc>
      </w:tr>
      <w:tr w:rsidR="00267137" w:rsidRPr="00766C0A" w:rsidTr="002C0C0E">
        <w:tc>
          <w:tcPr>
            <w:tcW w:w="3190" w:type="dxa"/>
            <w:vMerge/>
          </w:tcPr>
          <w:p w:rsidR="00267137" w:rsidRPr="00766C0A" w:rsidRDefault="00267137" w:rsidP="002C0C0E">
            <w:pPr>
              <w:rPr>
                <w:b/>
              </w:rPr>
            </w:pPr>
          </w:p>
        </w:tc>
        <w:tc>
          <w:tcPr>
            <w:tcW w:w="4998" w:type="dxa"/>
          </w:tcPr>
          <w:p w:rsidR="00267137" w:rsidRPr="00766C0A" w:rsidRDefault="00FD2689" w:rsidP="004007BA">
            <w:pPr>
              <w:rPr>
                <w:b/>
              </w:rPr>
            </w:pPr>
            <w:r w:rsidRPr="00FD2689">
              <w:rPr>
                <w:b/>
              </w:rPr>
              <w:t>2.2. Общее количество разработанных заданий минимум</w:t>
            </w:r>
            <w:r w:rsidR="004007BA">
              <w:rPr>
                <w:b/>
              </w:rPr>
              <w:t xml:space="preserve"> </w:t>
            </w:r>
            <w:r w:rsidRPr="00FD2689">
              <w:rPr>
                <w:b/>
              </w:rPr>
              <w:t xml:space="preserve">в </w:t>
            </w:r>
            <w:r w:rsidR="004007BA">
              <w:rPr>
                <w:b/>
              </w:rPr>
              <w:t>2</w:t>
            </w:r>
            <w:r w:rsidRPr="00FD2689">
              <w:rPr>
                <w:b/>
              </w:rPr>
              <w:t xml:space="preserve"> раза превышает количество заданий в тесте</w:t>
            </w:r>
          </w:p>
        </w:tc>
        <w:tc>
          <w:tcPr>
            <w:tcW w:w="1383" w:type="dxa"/>
          </w:tcPr>
          <w:p w:rsidR="00267137" w:rsidRPr="00766C0A" w:rsidRDefault="00267137" w:rsidP="002C0C0E">
            <w:pPr>
              <w:rPr>
                <w:b/>
              </w:rPr>
            </w:pPr>
            <w:bookmarkStart w:id="0" w:name="_GoBack"/>
            <w:bookmarkEnd w:id="0"/>
          </w:p>
        </w:tc>
      </w:tr>
      <w:tr w:rsidR="00FD2689" w:rsidRPr="00766C0A" w:rsidTr="002C0C0E">
        <w:tc>
          <w:tcPr>
            <w:tcW w:w="3190" w:type="dxa"/>
          </w:tcPr>
          <w:p w:rsidR="003C3362" w:rsidRPr="003C3362" w:rsidRDefault="003C3362" w:rsidP="003C3362">
            <w:pPr>
              <w:rPr>
                <w:b/>
              </w:rPr>
            </w:pPr>
            <w:r w:rsidRPr="003C3362">
              <w:rPr>
                <w:b/>
              </w:rPr>
              <w:t xml:space="preserve">3. Качество </w:t>
            </w:r>
            <w:proofErr w:type="gramStart"/>
            <w:r w:rsidRPr="003C3362">
              <w:rPr>
                <w:b/>
              </w:rPr>
              <w:t>тестовых</w:t>
            </w:r>
            <w:proofErr w:type="gramEnd"/>
          </w:p>
          <w:p w:rsidR="00FD2689" w:rsidRPr="00766C0A" w:rsidRDefault="003C3362" w:rsidP="003C3362">
            <w:pPr>
              <w:rPr>
                <w:b/>
              </w:rPr>
            </w:pPr>
            <w:r w:rsidRPr="003C3362">
              <w:rPr>
                <w:b/>
              </w:rPr>
              <w:t>заданий</w:t>
            </w:r>
          </w:p>
        </w:tc>
        <w:tc>
          <w:tcPr>
            <w:tcW w:w="4998" w:type="dxa"/>
          </w:tcPr>
          <w:p w:rsidR="00FD2689" w:rsidRPr="00002976" w:rsidRDefault="003C3362" w:rsidP="002C0C0E">
            <w:r w:rsidRPr="003C3362">
              <w:t>3.1. Интегральный показатель оценки качества тестовых заданий</w:t>
            </w:r>
          </w:p>
        </w:tc>
        <w:tc>
          <w:tcPr>
            <w:tcW w:w="1383" w:type="dxa"/>
          </w:tcPr>
          <w:p w:rsidR="00FD2689" w:rsidRPr="00766C0A" w:rsidRDefault="003C3362" w:rsidP="002C0C0E">
            <w:pPr>
              <w:rPr>
                <w:b/>
              </w:rPr>
            </w:pPr>
            <w:r>
              <w:rPr>
                <w:b/>
              </w:rPr>
              <w:t>0,92</w:t>
            </w:r>
          </w:p>
        </w:tc>
      </w:tr>
      <w:tr w:rsidR="003C3362" w:rsidRPr="00766C0A" w:rsidTr="002E1A9C">
        <w:tc>
          <w:tcPr>
            <w:tcW w:w="8188" w:type="dxa"/>
            <w:gridSpan w:val="2"/>
          </w:tcPr>
          <w:p w:rsidR="003C3362" w:rsidRPr="003C3362" w:rsidRDefault="003C3362" w:rsidP="003C3362">
            <w:pPr>
              <w:rPr>
                <w:b/>
              </w:rPr>
            </w:pPr>
            <w:r w:rsidRPr="003C3362">
              <w:rPr>
                <w:b/>
              </w:rPr>
              <w:t>Интегральный показатель качества теста</w:t>
            </w:r>
          </w:p>
          <w:p w:rsidR="003C3362" w:rsidRPr="003C3362" w:rsidRDefault="003C3362" w:rsidP="002C0C0E">
            <w:r w:rsidRPr="003C3362">
              <w:rPr>
                <w:b/>
              </w:rPr>
              <w:t>(среднее арифметическое показателей) 0</w:t>
            </w:r>
          </w:p>
        </w:tc>
        <w:tc>
          <w:tcPr>
            <w:tcW w:w="1383" w:type="dxa"/>
          </w:tcPr>
          <w:p w:rsidR="003C3362" w:rsidRPr="00766C0A" w:rsidRDefault="003C3362" w:rsidP="002C0C0E">
            <w:pPr>
              <w:rPr>
                <w:b/>
              </w:rPr>
            </w:pPr>
          </w:p>
        </w:tc>
      </w:tr>
    </w:tbl>
    <w:p w:rsidR="00267137" w:rsidRDefault="00267137"/>
    <w:p w:rsidR="00834D0E" w:rsidRDefault="00834D0E">
      <w:r>
        <w:t xml:space="preserve">4. Троян Г.М. Система оценки качества тестовых заданий закрытой формы // Материалы XXVII Международной конференции «Современные информационные технологии в образовании». 28 июня 2016 г. Троицк – Москва. С.225-226 </w:t>
      </w:r>
      <w:hyperlink r:id="rId6" w:history="1">
        <w:r w:rsidR="00D5079A" w:rsidRPr="004E2CB8">
          <w:rPr>
            <w:rStyle w:val="a4"/>
          </w:rPr>
          <w:t>http://ito2016.bytic.ru/uploads/files/conf_2016.pdf</w:t>
        </w:r>
      </w:hyperlink>
      <w:r>
        <w:t xml:space="preserve"> </w:t>
      </w:r>
    </w:p>
    <w:p w:rsidR="00D5079A" w:rsidRDefault="00D5079A">
      <w:r>
        <w:t xml:space="preserve">СИСТЕМА ОЦЕНКИ КАЧЕСТВА ТЕСТОВЫХ ЗАДАНИЙ ЗАКРЫТОЙ ФОРМЫ Троян Г.М. (g.troyan@mail.ru) Объединенная металлургическая компания (ОМК), г. Москва </w:t>
      </w:r>
    </w:p>
    <w:p w:rsidR="00D5079A" w:rsidRDefault="00D5079A">
      <w:r>
        <w:t>Аннотация</w:t>
      </w:r>
      <w:proofErr w:type="gramStart"/>
      <w:r>
        <w:t xml:space="preserve"> П</w:t>
      </w:r>
      <w:proofErr w:type="gramEnd"/>
      <w:r>
        <w:t>редлагается система оценки качества тестовых заданий закрытой формы по четырем группам критериев. Каждый критерий представлен в виде утверждения, которое можно оценить по двухбалльной шкале «да/1» или «нет/0». Это позволяет установить интегральный критерий качества в цифровом виде и использовать шаблон для проведения как объективной самооценки на этапе разработки тестовых заданий, таки экспертной оценки теста.</w:t>
      </w:r>
    </w:p>
    <w:p w:rsidR="00D5079A" w:rsidRDefault="00D5079A">
      <w:r>
        <w:t xml:space="preserve"> Проверка знаний с помощью электронного тестирования широко применяется как в образовательных учреждениях, так и для оценки профессиональных знаний в корпоративном обучении (1). Одной из важнейших задач тестирования является разработка качественных тестовых заданий. При этом, для максимальной автоматизации оценки результатов, в профессиональном тестировании, как правило, используют тестовые задания закрытой формы. </w:t>
      </w:r>
    </w:p>
    <w:p w:rsidR="00D5079A" w:rsidRDefault="00D5079A">
      <w:r>
        <w:t xml:space="preserve">В таблице предлагается система оценки качества тестовых заданий закрытой формы по четырем группам критериев: </w:t>
      </w:r>
    </w:p>
    <w:p w:rsidR="00D5079A" w:rsidRDefault="00D5079A">
      <w:r>
        <w:t>Название группы критериев Название критерия Оценка (да – 1, нет – 0) 1. Достаточная сложность задания 1.1. Неспециали</w:t>
      </w:r>
      <w:proofErr w:type="gramStart"/>
      <w:r>
        <w:t>ст в пр</w:t>
      </w:r>
      <w:proofErr w:type="gramEnd"/>
      <w:r>
        <w:t xml:space="preserve">едметной области не знает правильный ответ 1.2. 70-80% специалистов в предметной области отвечают правильно 2. Качество формулировки задания 2.1. Отсутствие грамматических ошибок 2.2. Отсутствие лишних слов 2.3. Отсутствие повторяющихся слов в ответах 2.4. Утвердительная форма формулировки задания 2.5. Отсутствие двойного отрицания 2.6. Выделение отрицания заглавными буквами 2.7. Отсутствие аббревиатуры без расшифровки 3. Качество и количество ответов 3.1. Невозможность отличить правильный ответ от </w:t>
      </w:r>
      <w:proofErr w:type="spellStart"/>
      <w:r>
        <w:t>дистракторов</w:t>
      </w:r>
      <w:proofErr w:type="spellEnd"/>
      <w:r>
        <w:t xml:space="preserve"> по формальным признакам 3.2. Логическая и грамматическая согласованность с формулировкой основной части задания 3.3. Отсутствие формулировки ответов вида «все перечисленные ответы», «все ответы неправильные», «да», «нет» 3.4. Минимум 4 варианта ответа </w:t>
      </w:r>
      <w:r>
        <w:lastRenderedPageBreak/>
        <w:t xml:space="preserve">для вида задания «один из многих»; минимум 5 вариантов ответа для вида задания «несколько из многих» 4. Качество оформления тестового задания 4.1. Формулировка задания утвердительной формы завершается двоеточием, ответы к заданию начинаются со строчной (маленькой) буквы (за исключением имен собственных). Если в качестве задания используется вопрос, ответы начинаются с прописной (большой) буквы 4.2. В конце ответов не ставится никаких знаков препинания; правильные ответы приводятся в начале списка ответов, выделяются полужирным шрифтом, напротив ставится метка правильного ответа </w:t>
      </w:r>
    </w:p>
    <w:p w:rsidR="00D5079A" w:rsidRDefault="00D5079A">
      <w:r>
        <w:t xml:space="preserve">Каждый критерий представлен в виде вопроса, на который можно ответить «да/1» или «нет/0». Это позволяет установить интегральный критерий качества в цифровом виде, например, значение показателя качества тестового задания, определяемого, как среднее арифметическое всех критериев качества, </w:t>
      </w:r>
      <w:r w:rsidRPr="00D5079A">
        <w:rPr>
          <w:b/>
        </w:rPr>
        <w:t>должно быть не менее 0,91.</w:t>
      </w:r>
      <w:r>
        <w:t xml:space="preserve"> </w:t>
      </w:r>
    </w:p>
    <w:p w:rsidR="00D5079A" w:rsidRDefault="00D5079A">
      <w:r>
        <w:t xml:space="preserve">Подобный подход позволяет разработать шаблон для оформления теста, содержащий встроенную систему оценки качества тестовых заданий. В результате автор теста может ориентироваться на заданные критерии качества на этапе разработке тестовых заданий, что гарантирует высокое качество заданий и существенно облегчает процедуру объективной экспертизы теста. </w:t>
      </w:r>
    </w:p>
    <w:p w:rsidR="00D5079A" w:rsidRDefault="00D5079A">
      <w:r>
        <w:t xml:space="preserve">Литература </w:t>
      </w:r>
    </w:p>
    <w:p w:rsidR="00D5079A" w:rsidRDefault="00D5079A">
      <w:r>
        <w:t xml:space="preserve">1. Шмелев А.Г. </w:t>
      </w:r>
      <w:proofErr w:type="gramStart"/>
      <w:r>
        <w:t>Практическая</w:t>
      </w:r>
      <w:proofErr w:type="gramEnd"/>
      <w:r>
        <w:t xml:space="preserve"> </w:t>
      </w:r>
      <w:proofErr w:type="spellStart"/>
      <w:r>
        <w:t>тестология</w:t>
      </w:r>
      <w:proofErr w:type="spellEnd"/>
      <w:r>
        <w:t>. Тестирование в образовании, прикладной психологии и управлении персоналом. М.: ООО «ИПЦ “Маска”», 2013 – 688 с.</w:t>
      </w:r>
    </w:p>
    <w:p w:rsidR="00D5079A" w:rsidRDefault="00D5079A"/>
    <w:p w:rsidR="00834D0E" w:rsidRDefault="00834D0E">
      <w:r>
        <w:t>5. Троян Г.</w:t>
      </w:r>
      <w:proofErr w:type="gramStart"/>
      <w:r>
        <w:t>М.</w:t>
      </w:r>
      <w:proofErr w:type="gramEnd"/>
      <w:r>
        <w:t xml:space="preserve"> Какие проблемы таят в себе тесты знаний с заданиями закрытой формы? // Журнал </w:t>
      </w:r>
      <w:proofErr w:type="spellStart"/>
      <w:r>
        <w:t>Hrbazaar</w:t>
      </w:r>
      <w:proofErr w:type="spellEnd"/>
      <w:r>
        <w:t xml:space="preserve"> </w:t>
      </w:r>
      <w:hyperlink r:id="rId7" w:history="1">
        <w:r w:rsidR="00672014" w:rsidRPr="004E2CB8">
          <w:rPr>
            <w:rStyle w:val="a4"/>
          </w:rPr>
          <w:t>https://hrbazaar.ru/articles/testy-znanij-s-zadaniyami-zakrytoj-formyosnovnye-problemy/</w:t>
        </w:r>
      </w:hyperlink>
    </w:p>
    <w:p w:rsidR="00672014" w:rsidRDefault="00672014">
      <w:r>
        <w:br w:type="page"/>
      </w:r>
    </w:p>
    <w:p w:rsidR="00672014" w:rsidRDefault="00672014"/>
    <w:p w:rsidR="00672014" w:rsidRDefault="00672014" w:rsidP="00672014">
      <w:r>
        <w:t xml:space="preserve">Шаги по разработке теста и сообщению его результатов </w:t>
      </w:r>
    </w:p>
    <w:p w:rsidR="00672014" w:rsidRDefault="00672014" w:rsidP="00672014">
      <w:r>
        <w:t xml:space="preserve">Таблица 6.2.2 </w:t>
      </w:r>
    </w:p>
    <w:p w:rsidR="00672014" w:rsidRDefault="00672014" w:rsidP="00672014">
      <w:r>
        <w:t xml:space="preserve">Номер шага  Описание </w:t>
      </w:r>
    </w:p>
    <w:p w:rsidR="00672014" w:rsidRDefault="00672014" w:rsidP="00672014">
      <w:r>
        <w:t>1</w:t>
      </w:r>
      <w:proofErr w:type="gramStart"/>
      <w:r>
        <w:t xml:space="preserve">  У</w:t>
      </w:r>
      <w:proofErr w:type="gramEnd"/>
      <w:r>
        <w:t xml:space="preserve">становите и разъясните цель разработки теста </w:t>
      </w:r>
    </w:p>
    <w:p w:rsidR="00672014" w:rsidRDefault="00672014" w:rsidP="00672014">
      <w:r>
        <w:t>2</w:t>
      </w:r>
      <w:proofErr w:type="gramStart"/>
      <w:r>
        <w:t xml:space="preserve">  У</w:t>
      </w:r>
      <w:proofErr w:type="gramEnd"/>
      <w:r>
        <w:t xml:space="preserve">становите перечень разделов содержательной области (дисциплин) и </w:t>
      </w:r>
    </w:p>
    <w:p w:rsidR="00672014" w:rsidRDefault="00672014" w:rsidP="00672014">
      <w:r>
        <w:t xml:space="preserve">компетенции, которые будут проверены в тесте </w:t>
      </w:r>
    </w:p>
    <w:p w:rsidR="00672014" w:rsidRDefault="00672014" w:rsidP="00672014">
      <w:r>
        <w:t>3</w:t>
      </w:r>
      <w:proofErr w:type="gramStart"/>
      <w:r>
        <w:t xml:space="preserve">  В</w:t>
      </w:r>
      <w:proofErr w:type="gramEnd"/>
      <w:r>
        <w:t xml:space="preserve">ыберите  число  уровней  освоения  компетенций  и  обозначьте  их. </w:t>
      </w:r>
    </w:p>
    <w:p w:rsidR="00672014" w:rsidRDefault="00672014" w:rsidP="00672014">
      <w:r>
        <w:t xml:space="preserve">Разработайте в соответствии с этими уровнями паспорта компетенций, </w:t>
      </w:r>
    </w:p>
    <w:p w:rsidR="00672014" w:rsidRDefault="00672014" w:rsidP="00672014">
      <w:proofErr w:type="gramStart"/>
      <w:r>
        <w:t xml:space="preserve">заложенных в образовательных стандартах </w:t>
      </w:r>
      <w:proofErr w:type="gramEnd"/>
    </w:p>
    <w:p w:rsidR="00672014" w:rsidRDefault="00672014" w:rsidP="00672014">
      <w:r>
        <w:t>4</w:t>
      </w:r>
      <w:proofErr w:type="gramStart"/>
      <w:r>
        <w:t xml:space="preserve">  В</w:t>
      </w:r>
      <w:proofErr w:type="gramEnd"/>
      <w:r>
        <w:t xml:space="preserve">ыберите  форму  заданий  и  разработайте  спецификацию  теста, </w:t>
      </w:r>
    </w:p>
    <w:p w:rsidR="00672014" w:rsidRDefault="00672014" w:rsidP="00672014">
      <w:r>
        <w:t xml:space="preserve">определите его длину и планируемых участников работ. </w:t>
      </w:r>
    </w:p>
    <w:p w:rsidR="00672014" w:rsidRDefault="00672014" w:rsidP="00672014">
      <w:r>
        <w:t>5</w:t>
      </w:r>
      <w:proofErr w:type="gramStart"/>
      <w:r>
        <w:t xml:space="preserve">  Р</w:t>
      </w:r>
      <w:proofErr w:type="gramEnd"/>
      <w:r>
        <w:t xml:space="preserve">азработайте задания и оценочные рубрики к ним </w:t>
      </w:r>
    </w:p>
    <w:p w:rsidR="00672014" w:rsidRDefault="00672014" w:rsidP="00672014">
      <w:r>
        <w:t>6</w:t>
      </w:r>
      <w:proofErr w:type="gramStart"/>
      <w:r>
        <w:t xml:space="preserve">  П</w:t>
      </w:r>
      <w:proofErr w:type="gramEnd"/>
      <w:r>
        <w:t xml:space="preserve">роведите  экспертизу  и  коррекцию  заданий  (редактирование </w:t>
      </w:r>
    </w:p>
    <w:p w:rsidR="00672014" w:rsidRDefault="00672014" w:rsidP="00672014">
      <w:r>
        <w:t xml:space="preserve">формулировок,  оценка  соответствия  спецификации,  оценка </w:t>
      </w:r>
    </w:p>
    <w:p w:rsidR="00672014" w:rsidRDefault="00672014" w:rsidP="00672014">
      <w:r>
        <w:t xml:space="preserve">дифференцирующей способности рубрик и т.д.) </w:t>
      </w:r>
    </w:p>
    <w:p w:rsidR="00672014" w:rsidRDefault="00672014" w:rsidP="00672014">
      <w:r>
        <w:t>7</w:t>
      </w:r>
      <w:proofErr w:type="gramStart"/>
      <w:r>
        <w:t xml:space="preserve">  С</w:t>
      </w:r>
      <w:proofErr w:type="gramEnd"/>
      <w:r>
        <w:t xml:space="preserve">формируйте  представительную  выборку  испытуемых.  Проведите </w:t>
      </w:r>
    </w:p>
    <w:p w:rsidR="00672014" w:rsidRDefault="00672014" w:rsidP="00672014">
      <w:r>
        <w:t xml:space="preserve">апробацию заданий и рубрик </w:t>
      </w:r>
    </w:p>
    <w:p w:rsidR="00672014" w:rsidRDefault="00672014" w:rsidP="00672014">
      <w:r>
        <w:t>8</w:t>
      </w:r>
      <w:proofErr w:type="gramStart"/>
      <w:r>
        <w:t xml:space="preserve">  П</w:t>
      </w:r>
      <w:proofErr w:type="gramEnd"/>
      <w:r>
        <w:t xml:space="preserve">роведите обработку и анализ результатов апробации заданий. </w:t>
      </w:r>
    </w:p>
    <w:p w:rsidR="00672014" w:rsidRDefault="00672014" w:rsidP="00672014">
      <w:r>
        <w:t>9</w:t>
      </w:r>
      <w:proofErr w:type="gramStart"/>
      <w:r>
        <w:t xml:space="preserve">  П</w:t>
      </w:r>
      <w:proofErr w:type="gramEnd"/>
      <w:r>
        <w:t xml:space="preserve">роведите коррекцию заданий. Сформируйте банк заданий </w:t>
      </w:r>
    </w:p>
    <w:p w:rsidR="00672014" w:rsidRDefault="00672014" w:rsidP="00672014">
      <w:r>
        <w:t>10</w:t>
      </w:r>
      <w:proofErr w:type="gramStart"/>
      <w:r>
        <w:t xml:space="preserve">  С</w:t>
      </w:r>
      <w:proofErr w:type="gramEnd"/>
      <w:r>
        <w:t xml:space="preserve">оберите варианты теста согласно спецификации </w:t>
      </w:r>
    </w:p>
    <w:p w:rsidR="00672014" w:rsidRDefault="00672014" w:rsidP="00672014">
      <w:r>
        <w:t>11</w:t>
      </w:r>
      <w:proofErr w:type="gramStart"/>
      <w:r>
        <w:t xml:space="preserve">  П</w:t>
      </w:r>
      <w:proofErr w:type="gramEnd"/>
      <w:r>
        <w:t xml:space="preserve">редъявите испытуемым сформированные варианты теста (возможно с </w:t>
      </w:r>
    </w:p>
    <w:p w:rsidR="00672014" w:rsidRDefault="00672014" w:rsidP="00672014">
      <w:r>
        <w:t xml:space="preserve">дополнительными или скорректированными заданиями) </w:t>
      </w:r>
    </w:p>
    <w:p w:rsidR="00672014" w:rsidRDefault="00672014" w:rsidP="00672014">
      <w:r>
        <w:t>12</w:t>
      </w:r>
      <w:proofErr w:type="gramStart"/>
      <w:r>
        <w:t xml:space="preserve">  У</w:t>
      </w:r>
      <w:proofErr w:type="gramEnd"/>
      <w:r>
        <w:t xml:space="preserve">становите стандарты выполнения, пороговую оценку (оценки) </w:t>
      </w:r>
    </w:p>
    <w:p w:rsidR="00672014" w:rsidRDefault="00672014" w:rsidP="00672014">
      <w:r>
        <w:t>13</w:t>
      </w:r>
      <w:proofErr w:type="gramStart"/>
      <w:r>
        <w:t xml:space="preserve">  О</w:t>
      </w:r>
      <w:proofErr w:type="gramEnd"/>
      <w:r>
        <w:t xml:space="preserve">цените  предварительно  результаты  выполнения  заданий;  проверьте </w:t>
      </w:r>
    </w:p>
    <w:p w:rsidR="00672014" w:rsidRDefault="00672014" w:rsidP="00672014">
      <w:r>
        <w:t xml:space="preserve">оценочные ключи </w:t>
      </w:r>
    </w:p>
    <w:p w:rsidR="00672014" w:rsidRDefault="00672014" w:rsidP="00672014">
      <w:r>
        <w:t>14</w:t>
      </w:r>
      <w:proofErr w:type="gramStart"/>
      <w:r>
        <w:t xml:space="preserve">  О</w:t>
      </w:r>
      <w:proofErr w:type="gramEnd"/>
      <w:r>
        <w:t xml:space="preserve">цените  результаты  тестирования;  примените  стандарты,  постройте </w:t>
      </w:r>
    </w:p>
    <w:p w:rsidR="00672014" w:rsidRDefault="00672014" w:rsidP="00672014">
      <w:r>
        <w:t xml:space="preserve">шкалу </w:t>
      </w:r>
      <w:r>
        <w:cr/>
        <w:t xml:space="preserve"> </w:t>
      </w:r>
    </w:p>
    <w:p w:rsidR="00672014" w:rsidRDefault="00672014" w:rsidP="00672014">
      <w:r>
        <w:lastRenderedPageBreak/>
        <w:t xml:space="preserve"> </w:t>
      </w:r>
    </w:p>
    <w:p w:rsidR="00672014" w:rsidRDefault="00672014" w:rsidP="00672014">
      <w:r>
        <w:t>15</w:t>
      </w:r>
      <w:proofErr w:type="gramStart"/>
      <w:r>
        <w:t xml:space="preserve">  С</w:t>
      </w:r>
      <w:proofErr w:type="gramEnd"/>
      <w:r>
        <w:t xml:space="preserve">ообщите оценки различным пользователям </w:t>
      </w:r>
    </w:p>
    <w:p w:rsidR="00672014" w:rsidRDefault="00672014" w:rsidP="00672014">
      <w:r>
        <w:t>16</w:t>
      </w:r>
      <w:proofErr w:type="gramStart"/>
      <w:r>
        <w:t xml:space="preserve">  О</w:t>
      </w:r>
      <w:proofErr w:type="gramEnd"/>
      <w:r>
        <w:t xml:space="preserve">цените тест, его характеристики качества </w:t>
      </w:r>
    </w:p>
    <w:p w:rsidR="00672014" w:rsidRDefault="00672014" w:rsidP="00672014">
      <w:r>
        <w:t>17</w:t>
      </w:r>
      <w:proofErr w:type="gramStart"/>
      <w:r>
        <w:t xml:space="preserve">  О</w:t>
      </w:r>
      <w:proofErr w:type="gramEnd"/>
      <w:r>
        <w:t xml:space="preserve">бновите выборку заданий, пересмотрите процедуры разработки теста </w:t>
      </w:r>
    </w:p>
    <w:p w:rsidR="00672014" w:rsidRDefault="00672014" w:rsidP="00672014">
      <w:r>
        <w:t xml:space="preserve">и т.д.: повторите Шаги 5-10,12-16. </w:t>
      </w:r>
    </w:p>
    <w:p w:rsidR="00942B17" w:rsidRDefault="00672014" w:rsidP="00942B17">
      <w:r>
        <w:t xml:space="preserve"> </w:t>
      </w:r>
      <w:r>
        <w:cr/>
      </w:r>
      <w:r w:rsidR="00942B17" w:rsidRPr="00942B17">
        <w:t xml:space="preserve"> </w:t>
      </w:r>
      <w:r w:rsidR="00942B17">
        <w:t xml:space="preserve">МЕТОДИЧЕСКИЕ РЕКОМЕНДАЦИИ </w:t>
      </w:r>
    </w:p>
    <w:p w:rsidR="00942B17" w:rsidRDefault="00942B17" w:rsidP="00942B17">
      <w:r>
        <w:t xml:space="preserve">ПО РАЗРАБОТКЕ ФОНДОВ ОЦЕНОЧНЫХ СРЕДСТВ </w:t>
      </w:r>
      <w:proofErr w:type="gramStart"/>
      <w:r>
        <w:t>ДЛЯ</w:t>
      </w:r>
      <w:proofErr w:type="gramEnd"/>
      <w:r>
        <w:t xml:space="preserve"> </w:t>
      </w:r>
    </w:p>
    <w:p w:rsidR="00942B17" w:rsidRDefault="00942B17" w:rsidP="00942B17">
      <w:r>
        <w:t xml:space="preserve">ПРОМЕЖУТОЧНОЙ И ИТОГОВОЙ АТТЕСТАЦИИ </w:t>
      </w:r>
      <w:proofErr w:type="gramStart"/>
      <w:r>
        <w:t>ОБУЧАЮЩИХСЯ</w:t>
      </w:r>
      <w:proofErr w:type="gramEnd"/>
      <w:r>
        <w:t xml:space="preserve"> </w:t>
      </w:r>
      <w:r>
        <w:cr/>
      </w:r>
      <w:r w:rsidRPr="00942B17">
        <w:t xml:space="preserve"> </w:t>
      </w:r>
      <w:r>
        <w:t xml:space="preserve">Составители </w:t>
      </w:r>
    </w:p>
    <w:p w:rsidR="00942B17" w:rsidRDefault="00942B17" w:rsidP="00942B17">
      <w:r>
        <w:t xml:space="preserve">Первый проректор, кандидат педагогических наук, доцент О.А. Надворная  </w:t>
      </w:r>
    </w:p>
    <w:p w:rsidR="00672014" w:rsidRDefault="00942B17" w:rsidP="00942B17">
      <w:r>
        <w:t xml:space="preserve">Начальник учебно-методического отдела А.Н. Семенов </w:t>
      </w:r>
      <w:r>
        <w:cr/>
      </w:r>
    </w:p>
    <w:sectPr w:rsidR="00672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DE"/>
    <w:rsid w:val="00162104"/>
    <w:rsid w:val="001828DE"/>
    <w:rsid w:val="00267137"/>
    <w:rsid w:val="003B1D46"/>
    <w:rsid w:val="003C3362"/>
    <w:rsid w:val="004007BA"/>
    <w:rsid w:val="00646C07"/>
    <w:rsid w:val="00672014"/>
    <w:rsid w:val="007B077A"/>
    <w:rsid w:val="00834D0E"/>
    <w:rsid w:val="00885A18"/>
    <w:rsid w:val="00901EFF"/>
    <w:rsid w:val="00903EA6"/>
    <w:rsid w:val="00942B17"/>
    <w:rsid w:val="009D6718"/>
    <w:rsid w:val="00AF5FD3"/>
    <w:rsid w:val="00B623A5"/>
    <w:rsid w:val="00B77B95"/>
    <w:rsid w:val="00D5079A"/>
    <w:rsid w:val="00E63851"/>
    <w:rsid w:val="00E87D5A"/>
    <w:rsid w:val="00EE4EC0"/>
    <w:rsid w:val="00FD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A5"/>
  </w:style>
  <w:style w:type="paragraph" w:styleId="1">
    <w:name w:val="heading 1"/>
    <w:basedOn w:val="a"/>
    <w:next w:val="a"/>
    <w:link w:val="10"/>
    <w:autoRedefine/>
    <w:qFormat/>
    <w:rsid w:val="00885A18"/>
    <w:pPr>
      <w:keepNext/>
      <w:numPr>
        <w:numId w:val="1"/>
      </w:numPr>
      <w:tabs>
        <w:tab w:val="clear" w:pos="432"/>
      </w:tabs>
      <w:suppressAutoHyphens/>
      <w:spacing w:after="0" w:line="240" w:lineRule="auto"/>
      <w:ind w:left="0" w:firstLine="709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6718"/>
    <w:pPr>
      <w:keepNext/>
      <w:keepLines/>
      <w:spacing w:after="0" w:line="240" w:lineRule="auto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9">
    <w:name w:val="heading 9"/>
    <w:aliases w:val="Заголовок ИАР"/>
    <w:basedOn w:val="a"/>
    <w:next w:val="a"/>
    <w:link w:val="90"/>
    <w:qFormat/>
    <w:rsid w:val="00903EA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18"/>
    <w:rPr>
      <w:b/>
      <w:bCs/>
      <w:sz w:val="32"/>
      <w:szCs w:val="24"/>
      <w:lang w:eastAsia="ar-SA"/>
    </w:rPr>
  </w:style>
  <w:style w:type="character" w:customStyle="1" w:styleId="90">
    <w:name w:val="Заголовок 9 Знак"/>
    <w:aliases w:val="Заголовок ИАР Знак"/>
    <w:basedOn w:val="a0"/>
    <w:link w:val="9"/>
    <w:rsid w:val="00903EA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D671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B6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7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A5"/>
  </w:style>
  <w:style w:type="paragraph" w:styleId="1">
    <w:name w:val="heading 1"/>
    <w:basedOn w:val="a"/>
    <w:next w:val="a"/>
    <w:link w:val="10"/>
    <w:autoRedefine/>
    <w:qFormat/>
    <w:rsid w:val="00885A18"/>
    <w:pPr>
      <w:keepNext/>
      <w:numPr>
        <w:numId w:val="1"/>
      </w:numPr>
      <w:tabs>
        <w:tab w:val="clear" w:pos="432"/>
      </w:tabs>
      <w:suppressAutoHyphens/>
      <w:spacing w:after="0" w:line="240" w:lineRule="auto"/>
      <w:ind w:left="0" w:firstLine="709"/>
      <w:outlineLvl w:val="0"/>
    </w:pPr>
    <w:rPr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6718"/>
    <w:pPr>
      <w:keepNext/>
      <w:keepLines/>
      <w:spacing w:after="0" w:line="240" w:lineRule="auto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9">
    <w:name w:val="heading 9"/>
    <w:aliases w:val="Заголовок ИАР"/>
    <w:basedOn w:val="a"/>
    <w:next w:val="a"/>
    <w:link w:val="90"/>
    <w:qFormat/>
    <w:rsid w:val="00903EA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18"/>
    <w:rPr>
      <w:b/>
      <w:bCs/>
      <w:sz w:val="32"/>
      <w:szCs w:val="24"/>
      <w:lang w:eastAsia="ar-SA"/>
    </w:rPr>
  </w:style>
  <w:style w:type="character" w:customStyle="1" w:styleId="90">
    <w:name w:val="Заголовок 9 Знак"/>
    <w:aliases w:val="Заголовок ИАР Знак"/>
    <w:basedOn w:val="a0"/>
    <w:link w:val="9"/>
    <w:rsid w:val="00903EA6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D671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B62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07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hrbazaar.ru/articles/testy-znanij-s-zadaniyami-zakrytoj-formyosnovnye-problem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to2016.bytic.ru/uploads/files/conf_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17</cp:revision>
  <dcterms:created xsi:type="dcterms:W3CDTF">2021-02-20T11:14:00Z</dcterms:created>
  <dcterms:modified xsi:type="dcterms:W3CDTF">2021-12-03T08:05:00Z</dcterms:modified>
</cp:coreProperties>
</file>